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355" w:rsidRDefault="00DD0355" w:rsidP="003C19FE">
      <w:pPr>
        <w:rPr>
          <w:b/>
          <w:bCs/>
          <w:sz w:val="40"/>
          <w:szCs w:val="40"/>
        </w:rPr>
      </w:pPr>
    </w:p>
    <w:p w:rsidR="00FD0FAE" w:rsidRDefault="006D24A4" w:rsidP="00B57D37">
      <w:r>
        <w:rPr>
          <w:b/>
          <w:bCs/>
          <w:sz w:val="40"/>
          <w:szCs w:val="40"/>
        </w:rPr>
        <w:t>Bijlage 1</w:t>
      </w:r>
      <w:r w:rsidR="00C858DD">
        <w:rPr>
          <w:b/>
          <w:bCs/>
          <w:sz w:val="40"/>
          <w:szCs w:val="40"/>
        </w:rPr>
        <w:t>0</w:t>
      </w:r>
      <w:bookmarkStart w:id="0" w:name="_GoBack"/>
      <w:bookmarkEnd w:id="0"/>
      <w:r>
        <w:rPr>
          <w:b/>
          <w:bCs/>
          <w:sz w:val="40"/>
          <w:szCs w:val="40"/>
        </w:rPr>
        <w:t xml:space="preserve"> – </w:t>
      </w:r>
      <w:r w:rsidR="006A0DAC">
        <w:rPr>
          <w:b/>
          <w:bCs/>
          <w:sz w:val="40"/>
          <w:szCs w:val="40"/>
        </w:rPr>
        <w:t>Uitgangspunten Amsterdamse Raad 2015-2018 en proces GSA</w:t>
      </w:r>
    </w:p>
    <w:p w:rsidR="006B77D2" w:rsidRDefault="006B77D2" w:rsidP="00847FFD"/>
    <w:p w:rsidR="006A0DAC" w:rsidRPr="006A0DAC" w:rsidRDefault="006A0DAC" w:rsidP="006A0DAC">
      <w:pPr>
        <w:autoSpaceDE w:val="0"/>
        <w:autoSpaceDN w:val="0"/>
        <w:adjustRightInd w:val="0"/>
        <w:spacing w:line="240" w:lineRule="auto"/>
        <w:rPr>
          <w:rFonts w:cs="Corbel"/>
          <w:color w:val="000000"/>
        </w:rPr>
      </w:pPr>
      <w:r w:rsidRPr="006A0DAC">
        <w:rPr>
          <w:rFonts w:cs="Corbel"/>
          <w:color w:val="000000"/>
        </w:rPr>
        <w:t xml:space="preserve">De volgende uitgangspunten voor de aanpak Gezonde Schoolgebouwen Amsterdam (GSA) zijn in 2016-2018 op 15 december 2015 door het college van B&amp;W vastgesteld: </w:t>
      </w:r>
      <w:r w:rsidRPr="006A0DAC">
        <w:rPr>
          <w:rFonts w:cs="Corbel"/>
          <w:color w:val="000000"/>
        </w:rPr>
        <w:br/>
      </w:r>
    </w:p>
    <w:p w:rsidR="006A0DAC" w:rsidRPr="006A0DAC" w:rsidRDefault="006A0DAC" w:rsidP="006A0DAC">
      <w:pPr>
        <w:numPr>
          <w:ilvl w:val="0"/>
          <w:numId w:val="31"/>
        </w:numPr>
        <w:autoSpaceDE w:val="0"/>
        <w:autoSpaceDN w:val="0"/>
        <w:adjustRightInd w:val="0"/>
        <w:spacing w:line="240" w:lineRule="auto"/>
        <w:rPr>
          <w:rFonts w:cs="Corbel"/>
          <w:color w:val="000000"/>
        </w:rPr>
      </w:pPr>
      <w:r w:rsidRPr="006A0DAC">
        <w:rPr>
          <w:rFonts w:cs="Corbel"/>
          <w:b/>
          <w:bCs/>
          <w:color w:val="000000"/>
        </w:rPr>
        <w:t xml:space="preserve">Ambitie lucht: </w:t>
      </w:r>
      <w:r w:rsidRPr="006A0DAC">
        <w:rPr>
          <w:rFonts w:cs="Corbel"/>
          <w:color w:val="000000"/>
        </w:rPr>
        <w:t xml:space="preserve">Het streven is om na aanpak Frisse scholen klasse B gerealiseerd te hebben bij nieuwe installaties, met een ondergrens van klasse C bij bestaande installaties. </w:t>
      </w:r>
    </w:p>
    <w:p w:rsidR="006A0DAC" w:rsidRPr="006A0DAC" w:rsidRDefault="006A0DAC" w:rsidP="006A0DAC">
      <w:pPr>
        <w:autoSpaceDE w:val="0"/>
        <w:autoSpaceDN w:val="0"/>
        <w:adjustRightInd w:val="0"/>
        <w:spacing w:line="240" w:lineRule="auto"/>
        <w:rPr>
          <w:rFonts w:cs="Corbel"/>
          <w:color w:val="000000"/>
        </w:rPr>
      </w:pPr>
    </w:p>
    <w:p w:rsidR="006A0DAC" w:rsidRPr="006A0DAC" w:rsidRDefault="006A0DAC" w:rsidP="006A0DAC">
      <w:pPr>
        <w:numPr>
          <w:ilvl w:val="0"/>
          <w:numId w:val="31"/>
        </w:numPr>
        <w:autoSpaceDE w:val="0"/>
        <w:autoSpaceDN w:val="0"/>
        <w:adjustRightInd w:val="0"/>
        <w:spacing w:line="240" w:lineRule="auto"/>
        <w:rPr>
          <w:rFonts w:cs="Corbel"/>
          <w:color w:val="000000"/>
        </w:rPr>
      </w:pPr>
      <w:r w:rsidRPr="006A0DAC">
        <w:rPr>
          <w:rFonts w:cs="Corbel"/>
          <w:b/>
          <w:bCs/>
          <w:color w:val="000000"/>
        </w:rPr>
        <w:t xml:space="preserve">Maatregelen licht: </w:t>
      </w:r>
      <w:r w:rsidRPr="006A0DAC">
        <w:rPr>
          <w:rFonts w:cs="Corbel"/>
          <w:color w:val="000000"/>
        </w:rPr>
        <w:t xml:space="preserve">Ondergrens is klasse C, daar waar het licht in de school onder klasse C uitkomt wordt licht aangepast met als ambitie klasse B. </w:t>
      </w:r>
      <w:r w:rsidRPr="006A0DAC">
        <w:rPr>
          <w:rFonts w:cs="Corbel"/>
          <w:color w:val="000000"/>
        </w:rPr>
        <w:br/>
      </w:r>
    </w:p>
    <w:p w:rsidR="006A0DAC" w:rsidRPr="006A0DAC" w:rsidRDefault="006A0DAC" w:rsidP="006A0DAC">
      <w:pPr>
        <w:numPr>
          <w:ilvl w:val="0"/>
          <w:numId w:val="31"/>
        </w:numPr>
        <w:autoSpaceDE w:val="0"/>
        <w:autoSpaceDN w:val="0"/>
        <w:adjustRightInd w:val="0"/>
        <w:spacing w:line="240" w:lineRule="auto"/>
        <w:rPr>
          <w:rFonts w:cs="Corbel"/>
          <w:color w:val="000000"/>
        </w:rPr>
      </w:pPr>
      <w:r w:rsidRPr="006A0DAC">
        <w:rPr>
          <w:rFonts w:cs="Corbel"/>
          <w:b/>
          <w:bCs/>
          <w:color w:val="000000"/>
        </w:rPr>
        <w:t xml:space="preserve">Verduurzamingsmaatregelen: </w:t>
      </w:r>
      <w:r w:rsidRPr="006A0DAC">
        <w:rPr>
          <w:rFonts w:cs="Corbel"/>
          <w:color w:val="000000"/>
        </w:rPr>
        <w:t xml:space="preserve">Het vastgestelde uitgangspunt in het project is alleen realiseren het geen noodzakelijk is om een exploitatieneutraal resultaat te behalen. Extra duurzaamheidsmaatregelen worden via een energiescan in beeld gebracht en uitvoering ervan is voor rekening van het schoolbestuur zelf. </w:t>
      </w:r>
      <w:r w:rsidRPr="006A0DAC">
        <w:rPr>
          <w:rFonts w:cs="Corbel"/>
          <w:color w:val="000000"/>
        </w:rPr>
        <w:br/>
      </w:r>
    </w:p>
    <w:p w:rsidR="006A0DAC" w:rsidRPr="006A0DAC" w:rsidRDefault="006A0DAC" w:rsidP="006A0DAC">
      <w:pPr>
        <w:numPr>
          <w:ilvl w:val="0"/>
          <w:numId w:val="31"/>
        </w:numPr>
        <w:autoSpaceDE w:val="0"/>
        <w:autoSpaceDN w:val="0"/>
        <w:adjustRightInd w:val="0"/>
        <w:spacing w:line="240" w:lineRule="auto"/>
      </w:pPr>
      <w:r w:rsidRPr="006A0DAC">
        <w:rPr>
          <w:rFonts w:cs="Corbel"/>
          <w:b/>
          <w:bCs/>
          <w:color w:val="000000"/>
        </w:rPr>
        <w:t xml:space="preserve">Onderhoud: </w:t>
      </w:r>
      <w:r w:rsidRPr="006A0DAC">
        <w:rPr>
          <w:rFonts w:cs="Corbel"/>
          <w:color w:val="000000"/>
        </w:rPr>
        <w:t xml:space="preserve">Om het positieve effect van de luchtmaatregelen te borgen heeft het schoolbestuur een 10 jarige onderhoudscontractverplichting met een gecertificeerd onderhoudsbedrijf. </w:t>
      </w:r>
    </w:p>
    <w:p w:rsidR="006A0DAC" w:rsidRPr="006A0DAC" w:rsidRDefault="006A0DAC" w:rsidP="006A0DAC">
      <w:pPr>
        <w:autoSpaceDE w:val="0"/>
        <w:autoSpaceDN w:val="0"/>
        <w:adjustRightInd w:val="0"/>
        <w:spacing w:line="240" w:lineRule="auto"/>
        <w:ind w:left="708"/>
      </w:pPr>
      <w:r w:rsidRPr="006A0DAC">
        <w:t xml:space="preserve">Bij deelname aan het project committeert het schoolbestuur zich aan de afspraak een 10-jarig onderhoudscontract af te sluiten. De gemeente levert de technische specificaties voor het contract aan, het schoolbestuur zorgt ervoor dat het contract wordt afgesloten en nageleefd. </w:t>
      </w:r>
      <w:r w:rsidRPr="006A0DAC">
        <w:rPr>
          <w:rFonts w:cs="Corbel"/>
        </w:rPr>
        <w:t xml:space="preserve">Om veranderingen in de luchtkwaliteit sneller te kunnen signaleren, is het wenselijk om de kwaliteit van de </w:t>
      </w:r>
      <w:proofErr w:type="spellStart"/>
      <w:r w:rsidRPr="006A0DAC">
        <w:rPr>
          <w:rFonts w:cs="Corbel"/>
        </w:rPr>
        <w:t>binnenlucht</w:t>
      </w:r>
      <w:proofErr w:type="spellEnd"/>
      <w:r w:rsidRPr="006A0DAC">
        <w:rPr>
          <w:rFonts w:cs="Corbel"/>
        </w:rPr>
        <w:t xml:space="preserve"> bij een balansventilatie structureel te monitoren. Er kunnen dan sneller maatregelen worden getroffen en daarmee kan worden voorkomen dat er te lang sprake is van slechte luchtkwaliteit. Om de resultaten te monitoren worden in alle schoolgebouwen met een balansventilatie CO2-meters opgehangen, zodat de luchtkwaliteit continue gemonitord kan worden en afwijkingen sneller gesignaleerd kunnen worden. De resultaten gaan naar het schoolbestuur, die verantwoordelijk is voor het onderhoud. </w:t>
      </w:r>
    </w:p>
    <w:p w:rsidR="006A0DAC" w:rsidRPr="006A0DAC" w:rsidRDefault="006A0DAC" w:rsidP="006A0DAC">
      <w:pPr>
        <w:autoSpaceDE w:val="0"/>
        <w:autoSpaceDN w:val="0"/>
        <w:adjustRightInd w:val="0"/>
        <w:spacing w:line="240" w:lineRule="auto"/>
        <w:rPr>
          <w:sz w:val="24"/>
          <w:szCs w:val="24"/>
        </w:rPr>
      </w:pPr>
    </w:p>
    <w:p w:rsidR="006A0DAC" w:rsidRPr="006A0DAC" w:rsidRDefault="006A0DAC" w:rsidP="006A0DAC">
      <w:pPr>
        <w:numPr>
          <w:ilvl w:val="0"/>
          <w:numId w:val="31"/>
        </w:numPr>
        <w:contextualSpacing/>
      </w:pPr>
      <w:r w:rsidRPr="006A0DAC">
        <w:rPr>
          <w:b/>
          <w:bCs/>
        </w:rPr>
        <w:t xml:space="preserve">Cofinanciering: </w:t>
      </w:r>
      <w:r w:rsidRPr="006A0DAC">
        <w:t>Het schoolbestuur PO/ SO financiert een vast percentage van 20% van het totale investeringsbudget (incl. verduurzamingsmaatregelen) tot een maximum van €50.000, -. Bij een VO-gebouw kan het aantal lokalen per gebouw sterk verschillen, daarom wordt geen maximum per gebouw aangehouden, maar een maximum per lokaal bepaald. Hier geldt een eigen bijdrage van 20% van de investering per lokaal tot een maximum van €4.4.00, - per lokaal.</w:t>
      </w:r>
      <w:r w:rsidRPr="006A0DAC">
        <w:br/>
      </w:r>
    </w:p>
    <w:p w:rsidR="006A0DAC" w:rsidRPr="006A0DAC" w:rsidRDefault="006A0DAC" w:rsidP="006A0DAC">
      <w:pPr>
        <w:numPr>
          <w:ilvl w:val="0"/>
          <w:numId w:val="31"/>
        </w:numPr>
        <w:contextualSpacing/>
      </w:pPr>
      <w:r w:rsidRPr="006A0DAC">
        <w:rPr>
          <w:b/>
        </w:rPr>
        <w:t>Aanvullende maatregelen:</w:t>
      </w:r>
      <w:r w:rsidRPr="006A0DAC">
        <w:t xml:space="preserve"> omdat het schoolgebouw een verbouwing ondergaat, kan het schoolbestuur aanvullende maatregelen voor eigen rekening opnemen in de opdracht aan de aannemer. De maatregelen moeten wel een relatie hebben met het binnenklimaat en de maatregelen die binnen het project worden getroffen.</w:t>
      </w:r>
    </w:p>
    <w:p w:rsidR="006A0DAC" w:rsidRPr="006A0DAC" w:rsidRDefault="006A0DAC" w:rsidP="006A0DAC">
      <w:pPr>
        <w:autoSpaceDE w:val="0"/>
        <w:autoSpaceDN w:val="0"/>
        <w:adjustRightInd w:val="0"/>
        <w:spacing w:line="240" w:lineRule="auto"/>
        <w:rPr>
          <w:sz w:val="24"/>
          <w:szCs w:val="24"/>
        </w:rPr>
      </w:pPr>
    </w:p>
    <w:p w:rsidR="006A0DAC" w:rsidRPr="006A0DAC" w:rsidRDefault="006A0DAC" w:rsidP="006A0DAC">
      <w:pPr>
        <w:rPr>
          <w:rFonts w:cs="Corbel"/>
          <w:b/>
          <w:bCs/>
          <w:color w:val="000000"/>
        </w:rPr>
      </w:pPr>
      <w:r w:rsidRPr="006A0DAC">
        <w:rPr>
          <w:b/>
          <w:bCs/>
        </w:rPr>
        <w:br w:type="page"/>
      </w:r>
    </w:p>
    <w:p w:rsidR="006A0DAC" w:rsidRPr="006A0DAC" w:rsidRDefault="006A0DAC" w:rsidP="006A0DAC">
      <w:pPr>
        <w:autoSpaceDE w:val="0"/>
        <w:autoSpaceDN w:val="0"/>
        <w:adjustRightInd w:val="0"/>
        <w:spacing w:line="240" w:lineRule="auto"/>
        <w:rPr>
          <w:rFonts w:cs="Corbel"/>
          <w:b/>
          <w:bCs/>
          <w:color w:val="000000"/>
        </w:rPr>
      </w:pPr>
    </w:p>
    <w:p w:rsidR="006A0DAC" w:rsidRPr="006A0DAC" w:rsidRDefault="006A0DAC" w:rsidP="006A0DAC">
      <w:pPr>
        <w:autoSpaceDE w:val="0"/>
        <w:autoSpaceDN w:val="0"/>
        <w:adjustRightInd w:val="0"/>
        <w:spacing w:line="240" w:lineRule="auto"/>
      </w:pPr>
      <w:r w:rsidRPr="006A0DAC">
        <w:rPr>
          <w:rFonts w:cs="Corbel"/>
          <w:b/>
          <w:bCs/>
          <w:color w:val="000000"/>
        </w:rPr>
        <w:t>Project- en uitvoeringsorganisatie</w:t>
      </w:r>
    </w:p>
    <w:p w:rsidR="006A0DAC" w:rsidRPr="006A0DAC" w:rsidRDefault="006A0DAC" w:rsidP="006A0DAC">
      <w:pPr>
        <w:autoSpaceDE w:val="0"/>
        <w:autoSpaceDN w:val="0"/>
        <w:adjustRightInd w:val="0"/>
        <w:spacing w:line="240" w:lineRule="auto"/>
        <w:rPr>
          <w:rFonts w:cs="Corbel"/>
          <w:color w:val="000000"/>
        </w:rPr>
      </w:pPr>
      <w:r w:rsidRPr="006A0DAC">
        <w:rPr>
          <w:rFonts w:cs="Corbel"/>
          <w:color w:val="000000"/>
        </w:rPr>
        <w:t xml:space="preserve">Gezonde Schoolgebouwen wordt uitgevoerd onder bestuurlijk opdrachtgeverschap van de wethouder Onderwijs. Voor de uitvoering van het programma is in 2015 een projectorganisatie opgericht. Vanuit het projectmanagementbureau van de gemeente is een team van proces- en bouwmanagers betrokken. De aanpak van de schoolgebouwen gebeurt in nauwe samenwerking met de schoolbesturen. </w:t>
      </w:r>
      <w:r w:rsidRPr="006A0DAC">
        <w:rPr>
          <w:rFonts w:cs="Corbel"/>
          <w:color w:val="000000"/>
        </w:rPr>
        <w:br/>
      </w:r>
      <w:r w:rsidRPr="006A0DAC">
        <w:rPr>
          <w:rFonts w:cs="Corbel"/>
          <w:color w:val="000000"/>
        </w:rPr>
        <w:br/>
        <w:t>Hieronder een schematisch overzicht van de projectorganisatie:</w:t>
      </w:r>
    </w:p>
    <w:p w:rsidR="00B57D37" w:rsidRDefault="00B57D37" w:rsidP="00847FFD"/>
    <w:p w:rsidR="006A0DAC" w:rsidRDefault="006A0DAC" w:rsidP="00847FFD">
      <w:pPr>
        <w:rPr>
          <w:noProof/>
        </w:rPr>
      </w:pPr>
      <w:r>
        <w:rPr>
          <w:noProof/>
        </w:rPr>
        <w:drawing>
          <wp:anchor distT="0" distB="0" distL="114300" distR="114300" simplePos="0" relativeHeight="251658240" behindDoc="0" locked="0" layoutInCell="1" allowOverlap="1" wp14:anchorId="63B26798" wp14:editId="4E3D2AC7">
            <wp:simplePos x="0" y="0"/>
            <wp:positionH relativeFrom="column">
              <wp:posOffset>-1905</wp:posOffset>
            </wp:positionH>
            <wp:positionV relativeFrom="paragraph">
              <wp:posOffset>53975</wp:posOffset>
            </wp:positionV>
            <wp:extent cx="6149340" cy="2505075"/>
            <wp:effectExtent l="0" t="0" r="3810" b="9525"/>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9340" cy="2505075"/>
                    </a:xfrm>
                    <a:prstGeom prst="rect">
                      <a:avLst/>
                    </a:prstGeom>
                    <a:noFill/>
                  </pic:spPr>
                </pic:pic>
              </a:graphicData>
            </a:graphic>
            <wp14:sizeRelH relativeFrom="page">
              <wp14:pctWidth>0</wp14:pctWidth>
            </wp14:sizeRelH>
            <wp14:sizeRelV relativeFrom="page">
              <wp14:pctHeight>0</wp14:pctHeight>
            </wp14:sizeRelV>
          </wp:anchor>
        </w:drawing>
      </w:r>
    </w:p>
    <w:p w:rsidR="006A0DAC" w:rsidRDefault="006A0DAC" w:rsidP="00847FFD">
      <w:pPr>
        <w:rPr>
          <w:noProof/>
        </w:rPr>
      </w:pPr>
    </w:p>
    <w:p w:rsidR="006A0DAC" w:rsidRDefault="006A0DAC" w:rsidP="00847FFD">
      <w:pPr>
        <w:rPr>
          <w:noProof/>
        </w:rPr>
      </w:pPr>
    </w:p>
    <w:p w:rsidR="006A0DAC" w:rsidRDefault="006A0DAC" w:rsidP="00847FFD">
      <w:pPr>
        <w:rPr>
          <w:noProof/>
        </w:rPr>
      </w:pPr>
    </w:p>
    <w:p w:rsidR="006A0DAC" w:rsidRDefault="006A0DAC" w:rsidP="00847FFD"/>
    <w:p w:rsidR="006A0DAC" w:rsidRDefault="006A0DAC" w:rsidP="00847FFD"/>
    <w:p w:rsidR="006A0DAC" w:rsidRDefault="006A0DAC" w:rsidP="00847FFD"/>
    <w:p w:rsidR="006A0DAC" w:rsidRDefault="006A0DAC" w:rsidP="00847FFD"/>
    <w:p w:rsidR="006A0DAC" w:rsidRDefault="006A0DAC" w:rsidP="00847FFD"/>
    <w:p w:rsidR="006A0DAC" w:rsidRDefault="006A0DAC" w:rsidP="00847FFD"/>
    <w:p w:rsidR="006A0DAC" w:rsidRDefault="006A0DAC" w:rsidP="00847FFD"/>
    <w:p w:rsidR="006A0DAC" w:rsidRDefault="006A0DAC" w:rsidP="00847FFD"/>
    <w:p w:rsidR="006A0DAC" w:rsidRDefault="006A0DAC" w:rsidP="00847FFD"/>
    <w:p w:rsidR="006A0DAC" w:rsidRDefault="006A0DAC" w:rsidP="00847FFD"/>
    <w:p w:rsidR="006A0DAC" w:rsidRDefault="006A0DAC" w:rsidP="00847FFD"/>
    <w:p w:rsidR="006A0DAC" w:rsidRDefault="006A0DAC" w:rsidP="006A0DAC">
      <w:pPr>
        <w:pStyle w:val="Default"/>
        <w:rPr>
          <w:sz w:val="21"/>
          <w:szCs w:val="21"/>
        </w:rPr>
      </w:pPr>
    </w:p>
    <w:p w:rsidR="006A0DAC" w:rsidRDefault="006A0DAC" w:rsidP="006A0DAC">
      <w:pPr>
        <w:pStyle w:val="Default"/>
        <w:rPr>
          <w:sz w:val="21"/>
          <w:szCs w:val="21"/>
        </w:rPr>
      </w:pPr>
      <w:r>
        <w:rPr>
          <w:sz w:val="21"/>
          <w:szCs w:val="21"/>
        </w:rPr>
        <w:t xml:space="preserve">Het duurt ongeveer driekwartjaar om een gezond schoolgebouw te worden, gerekend van analyse tot en met oplevering. In deze periode wordt intensief samengewerkt tussen schoolbesturen, de gemeentelijke bouwmanagers en de uitvoerende partijen zoals installatie-adviseur en aannemer. De daadwerkelijke installatie in het schoolgebouw vindt in de zomervakantie plaats. Afhankelijk van de geformuleerde maatregelen duurt dit ongeveer 5 weken. </w:t>
      </w:r>
      <w:r>
        <w:rPr>
          <w:sz w:val="21"/>
          <w:szCs w:val="21"/>
        </w:rPr>
        <w:br/>
      </w:r>
      <w:r>
        <w:rPr>
          <w:sz w:val="21"/>
          <w:szCs w:val="21"/>
        </w:rPr>
        <w:br/>
        <w:t xml:space="preserve">Tijdens </w:t>
      </w:r>
      <w:r w:rsidRPr="00C7315F">
        <w:rPr>
          <w:sz w:val="21"/>
          <w:szCs w:val="21"/>
        </w:rPr>
        <w:t>kennismakingsgesprekken met het schoolbestuur wordt het proces nader toegelicht. Op hoofdlijnen ziet het proces er als volgt uit:</w:t>
      </w:r>
    </w:p>
    <w:p w:rsidR="006A0DAC" w:rsidRPr="00C7315F" w:rsidRDefault="006A0DAC" w:rsidP="006A0DAC">
      <w:pPr>
        <w:pStyle w:val="Default"/>
        <w:rPr>
          <w:sz w:val="21"/>
          <w:szCs w:val="21"/>
        </w:rPr>
      </w:pPr>
    </w:p>
    <w:p w:rsidR="006A0DAC" w:rsidRDefault="006A0DAC" w:rsidP="00847FFD"/>
    <w:p w:rsidR="006A0DAC" w:rsidRPr="00B57D37" w:rsidRDefault="006A0DAC" w:rsidP="00847FFD">
      <w:r>
        <w:rPr>
          <w:noProof/>
        </w:rPr>
        <w:drawing>
          <wp:anchor distT="0" distB="0" distL="114300" distR="114300" simplePos="0" relativeHeight="251659264" behindDoc="0" locked="0" layoutInCell="1" allowOverlap="1">
            <wp:simplePos x="0" y="0"/>
            <wp:positionH relativeFrom="column">
              <wp:posOffset>-1905</wp:posOffset>
            </wp:positionH>
            <wp:positionV relativeFrom="paragraph">
              <wp:posOffset>1905</wp:posOffset>
            </wp:positionV>
            <wp:extent cx="6162674" cy="298132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63310" cy="2981633"/>
                    </a:xfrm>
                    <a:prstGeom prst="rect">
                      <a:avLst/>
                    </a:prstGeom>
                    <a:noFill/>
                  </pic:spPr>
                </pic:pic>
              </a:graphicData>
            </a:graphic>
            <wp14:sizeRelH relativeFrom="page">
              <wp14:pctWidth>0</wp14:pctWidth>
            </wp14:sizeRelH>
            <wp14:sizeRelV relativeFrom="page">
              <wp14:pctHeight>0</wp14:pctHeight>
            </wp14:sizeRelV>
          </wp:anchor>
        </w:drawing>
      </w:r>
    </w:p>
    <w:sectPr w:rsidR="006A0DAC" w:rsidRPr="00B57D37" w:rsidSect="00177A29">
      <w:headerReference w:type="default" r:id="rId11"/>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4A4" w:rsidRDefault="006D24A4" w:rsidP="00220940">
      <w:pPr>
        <w:spacing w:line="240" w:lineRule="auto"/>
      </w:pPr>
      <w:r>
        <w:separator/>
      </w:r>
    </w:p>
  </w:endnote>
  <w:endnote w:type="continuationSeparator" w:id="0">
    <w:p w:rsidR="006D24A4" w:rsidRDefault="006D24A4" w:rsidP="002209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4A4" w:rsidRDefault="006D24A4" w:rsidP="00220940">
      <w:pPr>
        <w:spacing w:line="240" w:lineRule="auto"/>
      </w:pPr>
      <w:r>
        <w:separator/>
      </w:r>
    </w:p>
  </w:footnote>
  <w:footnote w:type="continuationSeparator" w:id="0">
    <w:p w:rsidR="006D24A4" w:rsidRDefault="006D24A4" w:rsidP="0022094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940" w:rsidRPr="00220940" w:rsidRDefault="00220940">
    <w:pPr>
      <w:pStyle w:val="Koptekst"/>
      <w:rPr>
        <w:sz w:val="18"/>
        <w:szCs w:val="18"/>
      </w:rPr>
    </w:pPr>
    <w:r w:rsidRPr="00220940">
      <w:rPr>
        <w:sz w:val="18"/>
        <w:szCs w:val="18"/>
      </w:rPr>
      <w:t>Gemeente Amsterdam</w:t>
    </w:r>
  </w:p>
  <w:p w:rsidR="00220940" w:rsidRPr="00220940" w:rsidRDefault="00A86DE4">
    <w:pPr>
      <w:pStyle w:val="Koptekst"/>
      <w:rPr>
        <w:sz w:val="18"/>
        <w:szCs w:val="18"/>
      </w:rPr>
    </w:pPr>
    <w:r>
      <w:rPr>
        <w:sz w:val="18"/>
        <w:szCs w:val="18"/>
      </w:rPr>
      <w:t>AI 2016-000</w:t>
    </w:r>
    <w:r w:rsidR="00220940" w:rsidRPr="00220940">
      <w:rPr>
        <w:sz w:val="18"/>
        <w:szCs w:val="18"/>
      </w:rPr>
      <w:t xml:space="preserve"> </w:t>
    </w:r>
    <w:r>
      <w:rPr>
        <w:sz w:val="18"/>
        <w:szCs w:val="18"/>
      </w:rPr>
      <w:t>&lt;naam project&gt;</w:t>
    </w:r>
  </w:p>
  <w:p w:rsidR="00220940" w:rsidRPr="00220940" w:rsidRDefault="00CC39EC">
    <w:pPr>
      <w:pStyle w:val="Koptekst"/>
      <w:rPr>
        <w:sz w:val="18"/>
        <w:szCs w:val="18"/>
      </w:rPr>
    </w:pPr>
    <w:r>
      <w:rPr>
        <w:sz w:val="18"/>
        <w:szCs w:val="18"/>
      </w:rPr>
      <w:t>Bijlage 1</w:t>
    </w:r>
    <w:r w:rsidR="00C858DD">
      <w:rPr>
        <w:sz w:val="18"/>
        <w:szCs w:val="18"/>
      </w:rPr>
      <w:t>0</w:t>
    </w:r>
    <w:r w:rsidR="006A0DAC">
      <w:rPr>
        <w:sz w:val="18"/>
        <w:szCs w:val="18"/>
      </w:rPr>
      <w:t xml:space="preserve"> – Uitgangspunten Amsterdamse Raad 2015-2018 en proces GSA</w:t>
    </w:r>
  </w:p>
  <w:p w:rsidR="00220940" w:rsidRPr="00220940" w:rsidRDefault="00220940">
    <w:pPr>
      <w:pStyle w:val="Kopteks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28B67FFC"/>
    <w:multiLevelType w:val="hybridMultilevel"/>
    <w:tmpl w:val="69D6D77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418F5CB6"/>
    <w:multiLevelType w:val="hybridMultilevel"/>
    <w:tmpl w:val="8C921F0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nsid w:val="50C54F5B"/>
    <w:multiLevelType w:val="hybridMultilevel"/>
    <w:tmpl w:val="1916DBD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5721444F"/>
    <w:multiLevelType w:val="hybridMultilevel"/>
    <w:tmpl w:val="64989908"/>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61F54CEB"/>
    <w:multiLevelType w:val="hybridMultilevel"/>
    <w:tmpl w:val="5A46A7CC"/>
    <w:lvl w:ilvl="0" w:tplc="BB622FE8">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1">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11"/>
  </w:num>
  <w:num w:numId="4">
    <w:abstractNumId w:val="10"/>
  </w:num>
  <w:num w:numId="5">
    <w:abstractNumId w:val="0"/>
  </w:num>
  <w:num w:numId="6">
    <w:abstractNumId w:val="3"/>
  </w:num>
  <w:num w:numId="7">
    <w:abstractNumId w:val="9"/>
  </w:num>
  <w:num w:numId="8">
    <w:abstractNumId w:val="8"/>
  </w:num>
  <w:num w:numId="9">
    <w:abstractNumId w:val="11"/>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8"/>
  </w:num>
  <w:num w:numId="20">
    <w:abstractNumId w:val="11"/>
  </w:num>
  <w:num w:numId="21">
    <w:abstractNumId w:val="0"/>
  </w:num>
  <w:num w:numId="22">
    <w:abstractNumId w:val="3"/>
  </w:num>
  <w:num w:numId="23">
    <w:abstractNumId w:val="9"/>
  </w:num>
  <w:num w:numId="24">
    <w:abstractNumId w:val="0"/>
  </w:num>
  <w:num w:numId="25">
    <w:abstractNumId w:val="0"/>
  </w:num>
  <w:num w:numId="26">
    <w:abstractNumId w:val="0"/>
  </w:num>
  <w:num w:numId="27">
    <w:abstractNumId w:val="5"/>
  </w:num>
  <w:num w:numId="28">
    <w:abstractNumId w:val="4"/>
  </w:num>
  <w:num w:numId="29">
    <w:abstractNumId w:val="1"/>
  </w:num>
  <w:num w:numId="30">
    <w:abstractNumId w:val="2"/>
  </w:num>
  <w:num w:numId="3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4A4"/>
    <w:rsid w:val="000B46D8"/>
    <w:rsid w:val="00177A29"/>
    <w:rsid w:val="00220940"/>
    <w:rsid w:val="002B5524"/>
    <w:rsid w:val="00367491"/>
    <w:rsid w:val="003B3222"/>
    <w:rsid w:val="003C19FE"/>
    <w:rsid w:val="00424DED"/>
    <w:rsid w:val="00482A4F"/>
    <w:rsid w:val="00527398"/>
    <w:rsid w:val="006157EE"/>
    <w:rsid w:val="00632123"/>
    <w:rsid w:val="00664B71"/>
    <w:rsid w:val="006A0DAC"/>
    <w:rsid w:val="006B77D2"/>
    <w:rsid w:val="006C583D"/>
    <w:rsid w:val="006D24A4"/>
    <w:rsid w:val="007F24FA"/>
    <w:rsid w:val="008104C5"/>
    <w:rsid w:val="008402D9"/>
    <w:rsid w:val="00847FFD"/>
    <w:rsid w:val="0086631D"/>
    <w:rsid w:val="009175F9"/>
    <w:rsid w:val="009761CF"/>
    <w:rsid w:val="009B0D92"/>
    <w:rsid w:val="00A03098"/>
    <w:rsid w:val="00A3732E"/>
    <w:rsid w:val="00A53085"/>
    <w:rsid w:val="00A86DE4"/>
    <w:rsid w:val="00B57D37"/>
    <w:rsid w:val="00BD0C39"/>
    <w:rsid w:val="00BE1DBE"/>
    <w:rsid w:val="00C858DD"/>
    <w:rsid w:val="00CC39EC"/>
    <w:rsid w:val="00CF040D"/>
    <w:rsid w:val="00D93CF8"/>
    <w:rsid w:val="00DD0355"/>
    <w:rsid w:val="00EB1492"/>
    <w:rsid w:val="00F12F0D"/>
    <w:rsid w:val="00FD0FAE"/>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FE2507"/>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Lijstalinea">
    <w:name w:val="List Paragraph"/>
    <w:basedOn w:val="Standaard"/>
    <w:uiPriority w:val="34"/>
    <w:rsid w:val="00FD0FAE"/>
    <w:pPr>
      <w:ind w:left="720"/>
      <w:contextualSpacing/>
    </w:pPr>
  </w:style>
  <w:style w:type="paragraph" w:styleId="Koptekst">
    <w:name w:val="header"/>
    <w:basedOn w:val="Standaard"/>
    <w:link w:val="KoptekstChar"/>
    <w:uiPriority w:val="99"/>
    <w:rsid w:val="0022094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20940"/>
  </w:style>
  <w:style w:type="paragraph" w:styleId="Voettekst">
    <w:name w:val="footer"/>
    <w:basedOn w:val="Standaard"/>
    <w:link w:val="VoettekstChar"/>
    <w:rsid w:val="00220940"/>
    <w:pPr>
      <w:tabs>
        <w:tab w:val="center" w:pos="4513"/>
        <w:tab w:val="right" w:pos="9026"/>
      </w:tabs>
      <w:spacing w:line="240" w:lineRule="auto"/>
    </w:pPr>
  </w:style>
  <w:style w:type="character" w:customStyle="1" w:styleId="VoettekstChar">
    <w:name w:val="Voettekst Char"/>
    <w:basedOn w:val="Standaardalinea-lettertype"/>
    <w:link w:val="Voettekst"/>
    <w:rsid w:val="00220940"/>
  </w:style>
  <w:style w:type="paragraph" w:styleId="Ballontekst">
    <w:name w:val="Balloon Text"/>
    <w:basedOn w:val="Standaard"/>
    <w:link w:val="BallontekstChar"/>
    <w:rsid w:val="0022094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220940"/>
    <w:rPr>
      <w:rFonts w:ascii="Tahoma" w:hAnsi="Tahoma" w:cs="Tahoma"/>
      <w:sz w:val="16"/>
      <w:szCs w:val="16"/>
    </w:rPr>
  </w:style>
  <w:style w:type="paragraph" w:customStyle="1" w:styleId="Default">
    <w:name w:val="Default"/>
    <w:rsid w:val="006A0DAC"/>
    <w:pPr>
      <w:autoSpaceDE w:val="0"/>
      <w:autoSpaceDN w:val="0"/>
      <w:adjustRightInd w:val="0"/>
      <w:spacing w:line="240" w:lineRule="auto"/>
    </w:pPr>
    <w:rPr>
      <w:rFonts w:cs="Corbe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FE2507"/>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Lijstalinea">
    <w:name w:val="List Paragraph"/>
    <w:basedOn w:val="Standaard"/>
    <w:uiPriority w:val="34"/>
    <w:rsid w:val="00FD0FAE"/>
    <w:pPr>
      <w:ind w:left="720"/>
      <w:contextualSpacing/>
    </w:pPr>
  </w:style>
  <w:style w:type="paragraph" w:styleId="Koptekst">
    <w:name w:val="header"/>
    <w:basedOn w:val="Standaard"/>
    <w:link w:val="KoptekstChar"/>
    <w:uiPriority w:val="99"/>
    <w:rsid w:val="0022094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20940"/>
  </w:style>
  <w:style w:type="paragraph" w:styleId="Voettekst">
    <w:name w:val="footer"/>
    <w:basedOn w:val="Standaard"/>
    <w:link w:val="VoettekstChar"/>
    <w:rsid w:val="00220940"/>
    <w:pPr>
      <w:tabs>
        <w:tab w:val="center" w:pos="4513"/>
        <w:tab w:val="right" w:pos="9026"/>
      </w:tabs>
      <w:spacing w:line="240" w:lineRule="auto"/>
    </w:pPr>
  </w:style>
  <w:style w:type="character" w:customStyle="1" w:styleId="VoettekstChar">
    <w:name w:val="Voettekst Char"/>
    <w:basedOn w:val="Standaardalinea-lettertype"/>
    <w:link w:val="Voettekst"/>
    <w:rsid w:val="00220940"/>
  </w:style>
  <w:style w:type="paragraph" w:styleId="Ballontekst">
    <w:name w:val="Balloon Text"/>
    <w:basedOn w:val="Standaard"/>
    <w:link w:val="BallontekstChar"/>
    <w:rsid w:val="0022094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220940"/>
    <w:rPr>
      <w:rFonts w:ascii="Tahoma" w:hAnsi="Tahoma" w:cs="Tahoma"/>
      <w:sz w:val="16"/>
      <w:szCs w:val="16"/>
    </w:rPr>
  </w:style>
  <w:style w:type="paragraph" w:customStyle="1" w:styleId="Default">
    <w:name w:val="Default"/>
    <w:rsid w:val="006A0DAC"/>
    <w:pPr>
      <w:autoSpaceDE w:val="0"/>
      <w:autoSpaceDN w:val="0"/>
      <w:adjustRightInd w:val="0"/>
      <w:spacing w:line="240" w:lineRule="auto"/>
    </w:pPr>
    <w:rPr>
      <w:rFonts w:cs="Corbe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ntbr005\AppData\Local\Microsoft\Windows\Temporary%20Internet%20Files\Content.IE5\K3EQOHB1\format_inschrijvingsbiljet_20161018.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872FA-B974-4844-89A2-5775923A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format_inschrijvingsbiljet_20161018.dotx</Template>
  <TotalTime>0</TotalTime>
  <Pages>2</Pages>
  <Words>517</Words>
  <Characters>3249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Santbrink, Tom</dc:creator>
  <cp:lastModifiedBy>Steven Veenendaal</cp:lastModifiedBy>
  <cp:revision>3</cp:revision>
  <dcterms:created xsi:type="dcterms:W3CDTF">2019-07-17T18:12:00Z</dcterms:created>
  <dcterms:modified xsi:type="dcterms:W3CDTF">2019-07-18T14:50:00Z</dcterms:modified>
</cp:coreProperties>
</file>